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>fornitura biennale di “</w:t>
            </w:r>
            <w:r w:rsidR="0068151A" w:rsidRPr="0068151A">
              <w:rPr>
                <w:rFonts w:ascii="Palatino Linotype" w:hAnsi="Palatino Linotype"/>
                <w:b/>
                <w:bCs/>
                <w:sz w:val="18"/>
                <w:szCs w:val="18"/>
              </w:rPr>
              <w:t>GUIDE URETERALI TIPO SENSOR STRAIGHT TIP IN NITINOLO 0.035 X 150 CM” per il comparto operatorio dell’U.O.C. di Urologia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BD7C51" w:rsidRPr="00BD7C51">
              <w:rPr>
                <w:rFonts w:ascii="Palatino Linotype" w:hAnsi="Palatino Linotype"/>
                <w:b/>
                <w:bCs/>
                <w:sz w:val="18"/>
                <w:szCs w:val="18"/>
              </w:rPr>
              <w:t>5527119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D7C5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D7C5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D7C5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D7C5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D7C51"/>
    <w:rsid w:val="00C166DC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758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6297</Words>
  <Characters>36603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39</cp:revision>
  <dcterms:created xsi:type="dcterms:W3CDTF">2024-04-19T06:37:00Z</dcterms:created>
  <dcterms:modified xsi:type="dcterms:W3CDTF">2025-07-21T10:46:00Z</dcterms:modified>
</cp:coreProperties>
</file>